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5BC43" w14:textId="77777777" w:rsidR="00FB6DDD" w:rsidRDefault="003738C6">
      <w:pPr>
        <w:spacing w:after="0"/>
        <w:ind w:left="-540" w:right="-540"/>
      </w:pPr>
      <w:r w:rsidRPr="007D18C1">
        <w:rPr>
          <w:rFonts w:ascii="Calibri" w:eastAsia="Calibri" w:hAnsi="Calibri" w:cs="Arial"/>
          <w:kern w:val="0"/>
          <w14:ligatures w14:val="none"/>
        </w:rPr>
        <w:t xml:space="preserve">The list below contains best practices for using the schedule feature. </w:t>
      </w:r>
      <w:r w:rsidR="00F60A98" w:rsidRPr="00F60A98">
        <w:rPr>
          <w:rFonts w:ascii="Calibri" w:hAnsi="Calibri" w:cs="Calibri"/>
        </w:rPr>
        <w:t>Following</w:t>
      </w:r>
      <w:r w:rsidRPr="007D18C1">
        <w:rPr>
          <w:rFonts w:ascii="Calibri" w:eastAsia="Calibri" w:hAnsi="Calibri" w:cs="Arial"/>
          <w:kern w:val="0"/>
          <w14:ligatures w14:val="none"/>
        </w:rPr>
        <w:t xml:space="preserve"> these guidelines </w:t>
      </w:r>
      <w:r w:rsidR="00F60A98" w:rsidRPr="00F60A98">
        <w:rPr>
          <w:rFonts w:ascii="Calibri" w:hAnsi="Calibri" w:cs="Calibri"/>
        </w:rPr>
        <w:t>helps keep</w:t>
      </w:r>
      <w:r w:rsidRPr="007D18C1">
        <w:rPr>
          <w:rFonts w:ascii="Calibri" w:eastAsia="Calibri" w:hAnsi="Calibri" w:cs="Arial"/>
          <w:kern w:val="0"/>
          <w14:ligatures w14:val="none"/>
        </w:rPr>
        <w:t xml:space="preserve"> Cognos </w:t>
      </w:r>
      <w:r w:rsidRPr="007D18C1">
        <w:rPr>
          <w:rFonts w:ascii="Calibri" w:eastAsia="Calibri" w:hAnsi="Calibri" w:cs="Arial"/>
          <w:kern w:val="0"/>
          <w14:ligatures w14:val="none"/>
        </w:rPr>
        <w:t xml:space="preserve">running smoothly for everyone. </w:t>
      </w:r>
      <w:r w:rsidRPr="007D18C1">
        <w:rPr>
          <w:rFonts w:ascii="Calibri" w:eastAsia="Calibri" w:hAnsi="Calibri" w:cs="Arial"/>
          <w:kern w:val="0"/>
          <w14:ligatures w14:val="none"/>
        </w:rPr>
        <w:t xml:space="preserve">Please </w:t>
      </w:r>
      <w:r w:rsidR="00F60A98" w:rsidRPr="00F60A98">
        <w:rPr>
          <w:rFonts w:ascii="Calibri" w:hAnsi="Calibri" w:cs="Calibri"/>
        </w:rPr>
        <w:t>review</w:t>
      </w:r>
      <w:r w:rsidRPr="007D18C1">
        <w:rPr>
          <w:rFonts w:ascii="Calibri" w:eastAsia="Calibri" w:hAnsi="Calibri" w:cs="Arial"/>
          <w:kern w:val="0"/>
          <w14:ligatures w14:val="none"/>
        </w:rPr>
        <w:t xml:space="preserve"> them </w:t>
      </w:r>
      <w:r w:rsidR="00F60A98" w:rsidRPr="00F60A98">
        <w:rPr>
          <w:rFonts w:ascii="Calibri" w:hAnsi="Calibri" w:cs="Calibri"/>
        </w:rPr>
        <w:t>before</w:t>
      </w:r>
      <w:r w:rsidRPr="007D18C1">
        <w:rPr>
          <w:rFonts w:ascii="Calibri" w:eastAsia="Calibri" w:hAnsi="Calibri" w:cs="Arial"/>
          <w:kern w:val="0"/>
          <w14:ligatures w14:val="none"/>
        </w:rPr>
        <w:t xml:space="preserve"> adding a report to the scheduler.</w:t>
      </w:r>
    </w:p>
    <w:p w14:paraId="76458DEF" w14:textId="77777777" w:rsidR="007D18C1" w:rsidRPr="007D18C1" w:rsidRDefault="007D18C1" w:rsidP="007D18C1">
      <w:pPr>
        <w:spacing w:after="0" w:line="240" w:lineRule="auto"/>
        <w:rPr>
          <w:rFonts w:ascii="Calibri" w:eastAsia="Calibri" w:hAnsi="Calibri" w:cs="Arial"/>
          <w:kern w:val="0"/>
          <w14:ligatures w14:val="none"/>
        </w:rPr>
      </w:pPr>
    </w:p>
    <w:p w14:paraId="08E9CA1C" w14:textId="1CB649EA" w:rsidR="00F60A98" w:rsidRPr="00F60A98" w:rsidRDefault="00F60A98" w:rsidP="007D18C1">
      <w:pPr>
        <w:numPr>
          <w:ilvl w:val="0"/>
          <w:numId w:val="1"/>
        </w:numPr>
        <w:spacing w:after="0" w:line="240" w:lineRule="auto"/>
        <w:rPr>
          <w:rFonts w:ascii="Calibri" w:eastAsia="Calibri" w:hAnsi="Calibri" w:cs="Arial"/>
          <w:i/>
          <w:kern w:val="0"/>
          <w:sz w:val="22"/>
          <w:szCs w:val="22"/>
          <w14:ligatures w14:val="none"/>
        </w:rPr>
      </w:pPr>
      <w:r w:rsidRPr="00EA4B07">
        <w:rPr>
          <w:rFonts w:ascii="Calibri" w:eastAsia="Calibri" w:hAnsi="Calibri" w:cs="Arial"/>
          <w:b/>
          <w:kern w:val="0"/>
          <w14:ligatures w14:val="none"/>
        </w:rPr>
        <w:t xml:space="preserve">Create </w:t>
      </w:r>
      <w:r w:rsidRPr="00EA4B07">
        <w:rPr>
          <w:rFonts w:ascii="Calibri" w:eastAsia="Calibri" w:hAnsi="Calibri" w:cs="Arial"/>
          <w:b/>
          <w:kern w:val="0"/>
          <w14:ligatures w14:val="none"/>
        </w:rPr>
        <w:t xml:space="preserve">a </w:t>
      </w:r>
      <w:r w:rsidRPr="00EA4B07">
        <w:rPr>
          <w:rFonts w:ascii="Calibri" w:eastAsia="Calibri" w:hAnsi="Calibri" w:cs="Arial"/>
          <w:b/>
          <w:kern w:val="0"/>
          <w14:ligatures w14:val="none"/>
        </w:rPr>
        <w:t>report view</w:t>
      </w:r>
      <w:r w:rsidRPr="00EA4B07">
        <w:rPr>
          <w:rFonts w:ascii="Calibri" w:eastAsia="Calibri" w:hAnsi="Calibri" w:cs="Arial"/>
          <w:kern w:val="0"/>
          <w14:ligatures w14:val="none"/>
        </w:rPr>
        <w:t xml:space="preserve"> </w:t>
      </w:r>
      <w:r w:rsidR="007D18C1" w:rsidRPr="007D18C1">
        <w:rPr>
          <w:rFonts w:ascii="Calibri" w:eastAsia="Calibri" w:hAnsi="Calibri" w:cs="Arial"/>
          <w:kern w:val="0"/>
          <w:sz w:val="22"/>
          <w:szCs w:val="22"/>
          <w14:ligatures w14:val="none"/>
        </w:rPr>
        <w:t xml:space="preserve">- </w:t>
      </w:r>
      <w:r w:rsidRPr="00F60A98">
        <w:rPr>
          <w:rFonts w:ascii="Calibri" w:eastAsia="Calibri" w:hAnsi="Calibri" w:cs="Arial"/>
          <w:kern w:val="0"/>
          <w:sz w:val="22"/>
          <w:szCs w:val="22"/>
          <w14:ligatures w14:val="none"/>
        </w:rPr>
        <w:t xml:space="preserve">Use the </w:t>
      </w:r>
      <w:r w:rsidRPr="00F60A98">
        <w:rPr>
          <w:rFonts w:ascii="Calibri" w:eastAsia="Calibri" w:hAnsi="Calibri" w:cs="Arial"/>
          <w:bCs/>
          <w:kern w:val="0"/>
          <w:sz w:val="22"/>
          <w:szCs w:val="22"/>
          <w14:ligatures w14:val="none"/>
        </w:rPr>
        <w:t>Create report view</w:t>
      </w:r>
      <w:r>
        <w:rPr>
          <w:rFonts w:ascii="Calibri" w:eastAsia="Calibri" w:hAnsi="Calibri" w:cs="Arial"/>
          <w:kern w:val="0"/>
          <w:sz w:val="22"/>
          <w:szCs w:val="22"/>
          <w14:ligatures w14:val="none"/>
        </w:rPr>
        <w:t xml:space="preserve"> </w:t>
      </w:r>
      <w:r w:rsidRPr="00F60A98">
        <w:rPr>
          <w:rFonts w:ascii="Calibri" w:eastAsia="Calibri" w:hAnsi="Calibri" w:cs="Arial"/>
          <w:kern w:val="0"/>
          <w:sz w:val="22"/>
          <w:szCs w:val="22"/>
          <w14:ligatures w14:val="none"/>
        </w:rPr>
        <w:t xml:space="preserve">feature found with the original report to make </w:t>
      </w:r>
      <w:r>
        <w:rPr>
          <w:rFonts w:ascii="Calibri" w:eastAsia="Calibri" w:hAnsi="Calibri" w:cs="Arial"/>
          <w:kern w:val="0"/>
          <w:sz w:val="22"/>
          <w:szCs w:val="22"/>
          <w14:ligatures w14:val="none"/>
        </w:rPr>
        <w:t>a</w:t>
      </w:r>
      <w:r w:rsidRPr="00F60A98">
        <w:rPr>
          <w:rFonts w:ascii="Calibri" w:eastAsia="Calibri" w:hAnsi="Calibri" w:cs="Arial"/>
          <w:kern w:val="0"/>
          <w:sz w:val="22"/>
          <w:szCs w:val="22"/>
          <w14:ligatures w14:val="none"/>
        </w:rPr>
        <w:t xml:space="preserve"> copy. </w:t>
      </w:r>
      <w:r w:rsidRPr="007D18C1">
        <w:rPr>
          <w:rFonts w:ascii="Calibri" w:eastAsia="Calibri" w:hAnsi="Calibri" w:cs="Arial"/>
          <w:kern w:val="0"/>
          <w:sz w:val="22"/>
          <w:szCs w:val="22"/>
          <w14:ligatures w14:val="none"/>
        </w:rPr>
        <w:t xml:space="preserve">Report View ensures your new scheduled copy will receive any updates made to the original report.  </w:t>
      </w:r>
    </w:p>
    <w:p w14:paraId="2F9D096A" w14:textId="663F1284" w:rsidR="00F60A98" w:rsidRDefault="007D18C1" w:rsidP="00F60A98">
      <w:pPr>
        <w:numPr>
          <w:ilvl w:val="1"/>
          <w:numId w:val="1"/>
        </w:numPr>
        <w:spacing w:after="0" w:line="240" w:lineRule="auto"/>
        <w:rPr>
          <w:rFonts w:ascii="Calibri" w:eastAsia="Calibri" w:hAnsi="Calibri" w:cs="Arial"/>
          <w:i/>
          <w:kern w:val="0"/>
          <w:sz w:val="22"/>
          <w:szCs w:val="22"/>
          <w14:ligatures w14:val="none"/>
        </w:rPr>
      </w:pPr>
      <w:r w:rsidRPr="00EA4B07">
        <w:rPr>
          <w:rFonts w:ascii="Calibri" w:eastAsia="Calibri" w:hAnsi="Calibri" w:cs="Arial"/>
          <w:b/>
          <w:bCs/>
          <w:kern w:val="0"/>
          <w14:ligatures w14:val="none"/>
        </w:rPr>
        <w:t>Schedule departmental reports from the departmental folders</w:t>
      </w:r>
      <w:r w:rsidRPr="00EA4B07">
        <w:rPr>
          <w:rFonts w:ascii="Calibri" w:eastAsia="Calibri" w:hAnsi="Calibri" w:cs="Arial"/>
          <w:kern w:val="0"/>
          <w14:ligatures w14:val="none"/>
        </w:rPr>
        <w:t xml:space="preserve">. </w:t>
      </w:r>
      <w:r w:rsidRPr="007D18C1">
        <w:rPr>
          <w:rFonts w:ascii="Calibri" w:eastAsia="Calibri" w:hAnsi="Calibri" w:cs="Arial"/>
          <w:kern w:val="0"/>
          <w:sz w:val="22"/>
          <w:szCs w:val="22"/>
          <w14:ligatures w14:val="none"/>
        </w:rPr>
        <w:t xml:space="preserve">Copies can be saved within your My content, but </w:t>
      </w:r>
      <w:r w:rsidRPr="007D18C1">
        <w:rPr>
          <w:rFonts w:ascii="Calibri" w:eastAsia="Calibri" w:hAnsi="Calibri" w:cs="Arial"/>
          <w:i/>
          <w:kern w:val="0"/>
          <w:sz w:val="22"/>
          <w:szCs w:val="22"/>
          <w:u w:val="single"/>
          <w14:ligatures w14:val="none"/>
        </w:rPr>
        <w:t>if the report output is to be shared with others, place the copy in the departmental folder</w:t>
      </w:r>
      <w:r w:rsidRPr="007D18C1">
        <w:rPr>
          <w:rFonts w:ascii="Calibri" w:eastAsia="Calibri" w:hAnsi="Calibri" w:cs="Arial"/>
          <w:i/>
          <w:kern w:val="0"/>
          <w:sz w:val="22"/>
          <w:szCs w:val="22"/>
          <w14:ligatures w14:val="none"/>
        </w:rPr>
        <w:t xml:space="preserve">.  </w:t>
      </w:r>
    </w:p>
    <w:p w14:paraId="6562FF76" w14:textId="7901DC42" w:rsidR="007D18C1" w:rsidRPr="007D18C1" w:rsidRDefault="007D18C1" w:rsidP="00F60A98">
      <w:pPr>
        <w:numPr>
          <w:ilvl w:val="1"/>
          <w:numId w:val="1"/>
        </w:numPr>
        <w:spacing w:after="0" w:line="240" w:lineRule="auto"/>
        <w:rPr>
          <w:rFonts w:ascii="Calibri" w:eastAsia="Calibri" w:hAnsi="Calibri" w:cs="Arial"/>
          <w:i/>
          <w:kern w:val="0"/>
          <w:sz w:val="22"/>
          <w:szCs w:val="22"/>
          <w14:ligatures w14:val="none"/>
        </w:rPr>
      </w:pPr>
      <w:r w:rsidRPr="00EA4B07">
        <w:rPr>
          <w:rFonts w:ascii="Calibri" w:eastAsia="Calibri" w:hAnsi="Calibri" w:cs="Arial"/>
          <w:b/>
          <w:bCs/>
          <w:kern w:val="0"/>
          <w14:ligatures w14:val="none"/>
        </w:rPr>
        <w:t>Shortcuts are problematic</w:t>
      </w:r>
      <w:r w:rsidRPr="00EA4B07">
        <w:rPr>
          <w:rFonts w:ascii="Calibri" w:eastAsia="Calibri" w:hAnsi="Calibri" w:cs="Arial"/>
          <w:kern w:val="0"/>
          <w14:ligatures w14:val="none"/>
        </w:rPr>
        <w:t xml:space="preserve">, </w:t>
      </w:r>
      <w:r w:rsidRPr="007D18C1">
        <w:rPr>
          <w:rFonts w:ascii="Calibri" w:eastAsia="Calibri" w:hAnsi="Calibri" w:cs="Arial"/>
          <w:kern w:val="0"/>
          <w:sz w:val="22"/>
          <w:szCs w:val="22"/>
          <w14:ligatures w14:val="none"/>
        </w:rPr>
        <w:t>as links are broken if the original report is moved to another folder in Cognos.  Using Report View ensures you will not lose your link to the original report.</w:t>
      </w:r>
    </w:p>
    <w:p w14:paraId="21EF329A" w14:textId="77777777" w:rsidR="007D18C1" w:rsidRPr="007D18C1" w:rsidRDefault="007D18C1" w:rsidP="007D18C1">
      <w:pPr>
        <w:spacing w:after="0" w:line="240" w:lineRule="auto"/>
        <w:rPr>
          <w:rFonts w:ascii="Calibri" w:eastAsia="Calibri" w:hAnsi="Calibri" w:cs="Arial"/>
          <w:i/>
          <w:kern w:val="0"/>
          <w:sz w:val="22"/>
          <w:szCs w:val="22"/>
          <w14:ligatures w14:val="none"/>
        </w:rPr>
      </w:pPr>
    </w:p>
    <w:p w14:paraId="70750486" w14:textId="1EA42CA8" w:rsidR="007D18C1" w:rsidRPr="007D18C1" w:rsidRDefault="007D18C1" w:rsidP="007D18C1">
      <w:pPr>
        <w:numPr>
          <w:ilvl w:val="0"/>
          <w:numId w:val="5"/>
        </w:numPr>
        <w:spacing w:after="0" w:line="240" w:lineRule="auto"/>
        <w:rPr>
          <w:rFonts w:ascii="Calibri" w:eastAsia="Calibri" w:hAnsi="Calibri" w:cs="Arial"/>
          <w:i/>
          <w:kern w:val="0"/>
          <w:sz w:val="22"/>
          <w:szCs w:val="22"/>
          <w14:ligatures w14:val="none"/>
        </w:rPr>
      </w:pPr>
      <w:r w:rsidRPr="00EA4B07">
        <w:rPr>
          <w:rFonts w:ascii="Calibri" w:eastAsia="Calibri" w:hAnsi="Calibri" w:cs="Arial"/>
          <w:b/>
          <w:kern w:val="0"/>
          <w14:ligatures w14:val="none"/>
        </w:rPr>
        <w:t>Use My schedules and subscriptions</w:t>
      </w:r>
      <w:r w:rsidRPr="00EA4B07">
        <w:rPr>
          <w:rFonts w:ascii="Calibri" w:eastAsia="Calibri" w:hAnsi="Calibri" w:cs="Arial"/>
          <w:kern w:val="0"/>
          <w14:ligatures w14:val="none"/>
        </w:rPr>
        <w:t xml:space="preserve"> </w:t>
      </w:r>
      <w:r w:rsidRPr="007D18C1">
        <w:rPr>
          <w:rFonts w:ascii="Calibri" w:eastAsia="Calibri" w:hAnsi="Calibri" w:cs="Arial"/>
          <w:kern w:val="0"/>
          <w:sz w:val="22"/>
          <w:szCs w:val="22"/>
          <w14:ligatures w14:val="none"/>
        </w:rPr>
        <w:t xml:space="preserve">– This feature is found under the </w:t>
      </w:r>
      <w:r w:rsidRPr="007D18C1">
        <w:rPr>
          <w:rFonts w:ascii="Calibri" w:eastAsia="Calibri" w:hAnsi="Calibri" w:cs="Arial"/>
          <w:noProof/>
          <w:kern w:val="0"/>
          <w14:ligatures w14:val="none"/>
        </w:rPr>
        <w:drawing>
          <wp:inline distT="0" distB="0" distL="0" distR="0" wp14:anchorId="1E3044CE" wp14:editId="3CCC4A0F">
            <wp:extent cx="201083" cy="190500"/>
            <wp:effectExtent l="0" t="0" r="889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04846" cy="194065"/>
                    </a:xfrm>
                    <a:prstGeom prst="rect">
                      <a:avLst/>
                    </a:prstGeom>
                  </pic:spPr>
                </pic:pic>
              </a:graphicData>
            </a:graphic>
          </wp:inline>
        </w:drawing>
      </w:r>
      <w:r w:rsidRPr="007D18C1">
        <w:rPr>
          <w:rFonts w:ascii="Calibri" w:eastAsia="Calibri" w:hAnsi="Calibri" w:cs="Arial"/>
          <w:kern w:val="0"/>
          <w:sz w:val="22"/>
          <w:szCs w:val="22"/>
          <w14:ligatures w14:val="none"/>
        </w:rPr>
        <w:t xml:space="preserve"> icon on the Application bar.  It displays user schedules and subscriptions and can be used to research failed report schedules, delete schedules, and to modify the schedule rules.   </w:t>
      </w:r>
    </w:p>
    <w:p w14:paraId="543B8CED" w14:textId="77777777" w:rsidR="007D18C1" w:rsidRPr="007D18C1" w:rsidRDefault="007D18C1" w:rsidP="007D18C1">
      <w:pPr>
        <w:spacing w:after="0" w:line="240" w:lineRule="auto"/>
        <w:rPr>
          <w:rFonts w:ascii="Calibri" w:eastAsia="Calibri" w:hAnsi="Calibri" w:cs="Arial"/>
          <w:kern w:val="0"/>
          <w:sz w:val="22"/>
          <w:szCs w:val="22"/>
          <w14:ligatures w14:val="none"/>
        </w:rPr>
      </w:pPr>
    </w:p>
    <w:p w14:paraId="5047FB3B" w14:textId="6CBF9235" w:rsidR="00EA4B07" w:rsidRDefault="00EA4B07" w:rsidP="00EA4B07">
      <w:pPr>
        <w:pStyle w:val="ListParagraph"/>
        <w:numPr>
          <w:ilvl w:val="0"/>
          <w:numId w:val="6"/>
        </w:numPr>
      </w:pPr>
      <w:r w:rsidRPr="00EA4B07">
        <w:rPr>
          <w:rFonts w:ascii="Calibri" w:hAnsi="Calibri" w:cs="Calibri"/>
          <w:b/>
          <w:bCs/>
        </w:rPr>
        <w:t>Avoid scheduling reports during data loading times</w:t>
      </w:r>
      <w:r w:rsidRPr="00EA4B07">
        <w:rPr>
          <w:rFonts w:ascii="Calibri" w:hAnsi="Calibri" w:cs="Calibri"/>
        </w:rPr>
        <w:t xml:space="preserve"> </w:t>
      </w:r>
      <w:r w:rsidRPr="00EA4B07">
        <w:rPr>
          <w:rFonts w:ascii="Calibri" w:hAnsi="Calibri" w:cs="Calibri"/>
          <w:sz w:val="22"/>
          <w:szCs w:val="22"/>
        </w:rPr>
        <w:t>- Reports scheduled while ODS, EDW, or other source systems are loading data may run slowly, fail, or return incomplete results. Schedule reports outside the posted data loading window whenever possible to help ensure the most accurate and reliable output. For current data loading times, refer to</w:t>
      </w:r>
      <w:r>
        <w:rPr>
          <w:rFonts w:ascii="Calibri" w:hAnsi="Calibri" w:cs="Calibri"/>
          <w:sz w:val="22"/>
          <w:szCs w:val="22"/>
        </w:rPr>
        <w:t xml:space="preserve"> </w:t>
      </w:r>
      <w:hyperlink r:id="rId8" w:history="1">
        <w:r w:rsidRPr="00EA4B07">
          <w:rPr>
            <w:rStyle w:val="Hyperlink"/>
            <w:rFonts w:ascii="Calibri" w:hAnsi="Calibri" w:cs="Calibri"/>
            <w:sz w:val="22"/>
            <w:szCs w:val="22"/>
          </w:rPr>
          <w:t>Cognos Scheduler Policies and Procedures</w:t>
        </w:r>
      </w:hyperlink>
      <w:r>
        <w:rPr>
          <w:rFonts w:ascii="Calibri" w:hAnsi="Calibri" w:cs="Calibri"/>
          <w:sz w:val="22"/>
          <w:szCs w:val="22"/>
        </w:rPr>
        <w:t>.</w:t>
      </w:r>
    </w:p>
    <w:p w14:paraId="0B9A50DE" w14:textId="77777777" w:rsidR="007D18C1" w:rsidRPr="007D18C1" w:rsidRDefault="007D18C1" w:rsidP="007D18C1">
      <w:pPr>
        <w:numPr>
          <w:ilvl w:val="0"/>
          <w:numId w:val="2"/>
        </w:numPr>
        <w:spacing w:after="0" w:line="240" w:lineRule="auto"/>
        <w:rPr>
          <w:rFonts w:ascii="Calibri" w:eastAsia="Calibri" w:hAnsi="Calibri" w:cs="Arial"/>
          <w:i/>
          <w:kern w:val="0"/>
          <w:sz w:val="22"/>
          <w:szCs w:val="22"/>
          <w14:ligatures w14:val="none"/>
        </w:rPr>
      </w:pPr>
      <w:r w:rsidRPr="00EA4B07">
        <w:rPr>
          <w:rFonts w:ascii="Calibri" w:eastAsia="Calibri" w:hAnsi="Calibri" w:cs="Arial"/>
          <w:b/>
          <w:kern w:val="0"/>
          <w14:ligatures w14:val="none"/>
        </w:rPr>
        <w:t>Remove Inactive Schedules and Subscriptions</w:t>
      </w:r>
      <w:r w:rsidRPr="00EA4B07">
        <w:rPr>
          <w:rFonts w:ascii="Calibri" w:eastAsia="Calibri" w:hAnsi="Calibri" w:cs="Arial"/>
          <w:kern w:val="0"/>
          <w14:ligatures w14:val="none"/>
        </w:rPr>
        <w:t xml:space="preserve"> </w:t>
      </w:r>
      <w:r w:rsidRPr="007D18C1">
        <w:rPr>
          <w:rFonts w:ascii="Calibri" w:eastAsia="Calibri" w:hAnsi="Calibri" w:cs="Arial"/>
          <w:kern w:val="0"/>
          <w:sz w:val="22"/>
          <w:szCs w:val="22"/>
          <w14:ligatures w14:val="none"/>
        </w:rPr>
        <w:t xml:space="preserve">- Review your Schedules and Subscriptions and delete those no longer needed.  This helps prevent unnecessary </w:t>
      </w:r>
      <w:proofErr w:type="gramStart"/>
      <w:r w:rsidRPr="007D18C1">
        <w:rPr>
          <w:rFonts w:ascii="Calibri" w:eastAsia="Calibri" w:hAnsi="Calibri" w:cs="Arial"/>
          <w:kern w:val="0"/>
          <w:sz w:val="22"/>
          <w:szCs w:val="22"/>
          <w14:ligatures w14:val="none"/>
        </w:rPr>
        <w:t>report runs</w:t>
      </w:r>
      <w:proofErr w:type="gramEnd"/>
      <w:r w:rsidRPr="007D18C1">
        <w:rPr>
          <w:rFonts w:ascii="Calibri" w:eastAsia="Calibri" w:hAnsi="Calibri" w:cs="Arial"/>
          <w:kern w:val="0"/>
          <w:sz w:val="22"/>
          <w:szCs w:val="22"/>
          <w14:ligatures w14:val="none"/>
        </w:rPr>
        <w:t xml:space="preserve"> against the Cognos system.</w:t>
      </w:r>
    </w:p>
    <w:p w14:paraId="3A1D1649" w14:textId="77777777" w:rsidR="007D18C1" w:rsidRPr="007D18C1" w:rsidRDefault="007D18C1" w:rsidP="007D18C1">
      <w:pPr>
        <w:spacing w:after="0" w:line="240" w:lineRule="auto"/>
        <w:rPr>
          <w:rFonts w:ascii="Calibri" w:eastAsia="Calibri" w:hAnsi="Calibri" w:cs="Arial"/>
          <w:kern w:val="0"/>
          <w:sz w:val="22"/>
          <w:szCs w:val="22"/>
          <w14:ligatures w14:val="none"/>
        </w:rPr>
      </w:pPr>
    </w:p>
    <w:p w14:paraId="48CE9A8C" w14:textId="77777777" w:rsidR="007D18C1" w:rsidRPr="007D18C1" w:rsidRDefault="007D18C1" w:rsidP="007D18C1">
      <w:pPr>
        <w:numPr>
          <w:ilvl w:val="0"/>
          <w:numId w:val="4"/>
        </w:numPr>
        <w:spacing w:after="0" w:line="240" w:lineRule="auto"/>
        <w:rPr>
          <w:rFonts w:ascii="Calibri" w:eastAsia="Calibri" w:hAnsi="Calibri" w:cs="Arial"/>
          <w:b/>
          <w:i/>
          <w:kern w:val="0"/>
          <w:sz w:val="22"/>
          <w:szCs w:val="22"/>
          <w14:ligatures w14:val="none"/>
        </w:rPr>
      </w:pPr>
      <w:r w:rsidRPr="00EA4B07">
        <w:rPr>
          <w:rFonts w:ascii="Calibri" w:eastAsia="Calibri" w:hAnsi="Calibri" w:cs="Arial"/>
          <w:b/>
          <w:kern w:val="0"/>
          <w14:ligatures w14:val="none"/>
        </w:rPr>
        <w:t>Cognos Email Notifications</w:t>
      </w:r>
      <w:r w:rsidRPr="00EA4B07">
        <w:rPr>
          <w:rFonts w:ascii="Calibri" w:eastAsia="Calibri" w:hAnsi="Calibri" w:cs="Arial"/>
          <w:kern w:val="0"/>
          <w14:ligatures w14:val="none"/>
        </w:rPr>
        <w:t xml:space="preserve"> </w:t>
      </w:r>
      <w:r w:rsidRPr="007D18C1">
        <w:rPr>
          <w:rFonts w:ascii="Calibri" w:eastAsia="Calibri" w:hAnsi="Calibri" w:cs="Arial"/>
          <w:kern w:val="0"/>
          <w:sz w:val="22"/>
          <w:szCs w:val="22"/>
          <w14:ligatures w14:val="none"/>
        </w:rPr>
        <w:t>– Users need to be aware when Cognos is unavailable and if it will affect your scheduled report(s).  Watch for Cognos, ODS, EDW, or Boiler Insight (HR and FI) email notifications from the BICC containing information on system downtime.</w:t>
      </w:r>
    </w:p>
    <w:p w14:paraId="390BD1A4" w14:textId="77777777" w:rsidR="007D18C1" w:rsidRPr="007D18C1" w:rsidRDefault="007D18C1" w:rsidP="007D18C1">
      <w:pPr>
        <w:spacing w:after="0" w:line="240" w:lineRule="auto"/>
        <w:rPr>
          <w:rFonts w:ascii="Calibri" w:eastAsia="Calibri" w:hAnsi="Calibri" w:cs="Arial"/>
          <w:kern w:val="0"/>
          <w:sz w:val="22"/>
          <w:szCs w:val="22"/>
          <w14:ligatures w14:val="none"/>
        </w:rPr>
      </w:pPr>
    </w:p>
    <w:p w14:paraId="2E517B3A" w14:textId="42E9CB01" w:rsidR="00EA4B07" w:rsidRDefault="00EA4B07" w:rsidP="007D18C1">
      <w:pPr>
        <w:spacing w:after="0" w:line="240" w:lineRule="auto"/>
        <w:ind w:left="720"/>
        <w:rPr>
          <w:rFonts w:ascii="Calibri" w:eastAsia="Calibri" w:hAnsi="Calibri" w:cs="Arial"/>
          <w:b/>
          <w:i/>
          <w:kern w:val="0"/>
          <w:sz w:val="22"/>
          <w:szCs w:val="22"/>
          <w14:ligatures w14:val="none"/>
        </w:rPr>
      </w:pPr>
    </w:p>
    <w:p w14:paraId="15763FD2" w14:textId="1E1DC0A1" w:rsidR="007D18C1" w:rsidRPr="007D18C1" w:rsidRDefault="00EA4B07" w:rsidP="007D18C1">
      <w:pPr>
        <w:spacing w:after="0" w:line="240" w:lineRule="auto"/>
        <w:ind w:left="720"/>
        <w:rPr>
          <w:rFonts w:ascii="Calibri" w:eastAsia="Calibri" w:hAnsi="Calibri" w:cs="Arial"/>
          <w:b/>
          <w:i/>
          <w:kern w:val="0"/>
          <w:sz w:val="22"/>
          <w:szCs w:val="22"/>
          <w14:ligatures w14:val="none"/>
        </w:rPr>
      </w:pPr>
      <w:r w:rsidRPr="007D18C1">
        <w:rPr>
          <w:rFonts w:ascii="Calibri" w:eastAsia="Calibri" w:hAnsi="Calibri" w:cs="Arial"/>
          <w:noProof/>
          <w:kern w:val="0"/>
          <w:sz w:val="22"/>
          <w:szCs w:val="22"/>
          <w14:ligatures w14:val="none"/>
        </w:rPr>
        <w:drawing>
          <wp:anchor distT="0" distB="0" distL="114300" distR="114300" simplePos="0" relativeHeight="251659264" behindDoc="0" locked="0" layoutInCell="1" allowOverlap="1" wp14:anchorId="0441F646" wp14:editId="1A50C3D6">
            <wp:simplePos x="0" y="0"/>
            <wp:positionH relativeFrom="column">
              <wp:posOffset>36692</wp:posOffset>
            </wp:positionH>
            <wp:positionV relativeFrom="paragraph">
              <wp:posOffset>72804</wp:posOffset>
            </wp:positionV>
            <wp:extent cx="437515" cy="496570"/>
            <wp:effectExtent l="0" t="0" r="635" b="0"/>
            <wp:wrapSquare wrapText="bothSides"/>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37515" cy="496570"/>
                    </a:xfrm>
                    <a:prstGeom prst="rect">
                      <a:avLst/>
                    </a:prstGeom>
                  </pic:spPr>
                </pic:pic>
              </a:graphicData>
            </a:graphic>
            <wp14:sizeRelH relativeFrom="margin">
              <wp14:pctWidth>0</wp14:pctWidth>
            </wp14:sizeRelH>
            <wp14:sizeRelV relativeFrom="margin">
              <wp14:pctHeight>0</wp14:pctHeight>
            </wp14:sizeRelV>
          </wp:anchor>
        </w:drawing>
      </w:r>
      <w:r w:rsidR="007D18C1" w:rsidRPr="007D18C1">
        <w:rPr>
          <w:rFonts w:ascii="Calibri" w:eastAsia="Calibri" w:hAnsi="Calibri" w:cs="Arial"/>
          <w:b/>
          <w:i/>
          <w:kern w:val="0"/>
          <w:sz w:val="22"/>
          <w:szCs w:val="22"/>
          <w14:ligatures w14:val="none"/>
        </w:rPr>
        <w:t xml:space="preserve">Please take time to review email messages and be aware of any scheduler disruptions.  Users may need to run the reports manually if Cognos was unavailable during scheduled </w:t>
      </w:r>
      <w:proofErr w:type="gramStart"/>
      <w:r w:rsidR="007D18C1" w:rsidRPr="007D18C1">
        <w:rPr>
          <w:rFonts w:ascii="Calibri" w:eastAsia="Calibri" w:hAnsi="Calibri" w:cs="Arial"/>
          <w:b/>
          <w:i/>
          <w:kern w:val="0"/>
          <w:sz w:val="22"/>
          <w:szCs w:val="22"/>
          <w14:ligatures w14:val="none"/>
        </w:rPr>
        <w:t>run</w:t>
      </w:r>
      <w:proofErr w:type="gramEnd"/>
      <w:r w:rsidR="007D18C1" w:rsidRPr="007D18C1">
        <w:rPr>
          <w:rFonts w:ascii="Calibri" w:eastAsia="Calibri" w:hAnsi="Calibri" w:cs="Arial"/>
          <w:b/>
          <w:i/>
          <w:kern w:val="0"/>
          <w:sz w:val="22"/>
          <w:szCs w:val="22"/>
          <w14:ligatures w14:val="none"/>
        </w:rPr>
        <w:t xml:space="preserve"> times.  </w:t>
      </w:r>
    </w:p>
    <w:p w14:paraId="747B1A73" w14:textId="77777777" w:rsidR="007D18C1" w:rsidRPr="007D18C1" w:rsidRDefault="007D18C1" w:rsidP="007D18C1">
      <w:pPr>
        <w:spacing w:after="0" w:line="240" w:lineRule="auto"/>
        <w:ind w:left="720"/>
        <w:rPr>
          <w:rFonts w:ascii="Calibri" w:eastAsia="Calibri" w:hAnsi="Calibri" w:cs="Arial"/>
          <w:b/>
          <w:i/>
          <w:kern w:val="0"/>
          <w:sz w:val="22"/>
          <w:szCs w:val="22"/>
          <w14:ligatures w14:val="none"/>
        </w:rPr>
      </w:pPr>
      <w:r w:rsidRPr="007D18C1">
        <w:rPr>
          <w:rFonts w:ascii="Calibri" w:eastAsia="Calibri" w:hAnsi="Calibri" w:cs="Arial"/>
          <w:b/>
          <w:i/>
          <w:kern w:val="0"/>
          <w:sz w:val="22"/>
          <w:szCs w:val="22"/>
          <w14:ligatures w14:val="none"/>
        </w:rPr>
        <w:t xml:space="preserve">  </w:t>
      </w:r>
    </w:p>
    <w:p w14:paraId="443ED92C" w14:textId="77777777" w:rsidR="00FB6DDD" w:rsidRDefault="00FB6DDD"/>
    <w:sectPr w:rsidR="00FB6DDD">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961AB" w14:textId="77777777" w:rsidR="003738C6" w:rsidRDefault="003738C6" w:rsidP="007D18C1">
      <w:pPr>
        <w:spacing w:after="0" w:line="240" w:lineRule="auto"/>
      </w:pPr>
      <w:r>
        <w:separator/>
      </w:r>
    </w:p>
  </w:endnote>
  <w:endnote w:type="continuationSeparator" w:id="0">
    <w:p w14:paraId="5F3A4759" w14:textId="77777777" w:rsidR="003738C6" w:rsidRDefault="003738C6" w:rsidP="007D18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F972B" w14:textId="77777777" w:rsidR="006614A9" w:rsidRDefault="006614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EAA4E" w14:textId="5F858F84" w:rsidR="007D18C1" w:rsidRPr="00EA4B07" w:rsidRDefault="007D18C1">
    <w:pPr>
      <w:pStyle w:val="Footer"/>
      <w:rPr>
        <w:rFonts w:ascii="Calibri" w:eastAsia="Calibri" w:hAnsi="Calibri" w:cs="Arial"/>
        <w:b/>
        <w:bCs/>
        <w:noProof/>
        <w:sz w:val="28"/>
        <w:szCs w:val="28"/>
      </w:rPr>
    </w:pPr>
    <w:r w:rsidRPr="00EA4B07">
      <w:rPr>
        <w:rFonts w:ascii="Calibri" w:eastAsia="Calibri" w:hAnsi="Calibri" w:cs="Arial"/>
        <w:noProof/>
        <w:sz w:val="28"/>
        <w:szCs w:val="28"/>
      </w:rPr>
      <mc:AlternateContent>
        <mc:Choice Requires="wps">
          <w:drawing>
            <wp:anchor distT="0" distB="0" distL="114300" distR="114300" simplePos="0" relativeHeight="251663360" behindDoc="0" locked="0" layoutInCell="1" allowOverlap="1" wp14:anchorId="4E3D3B3C" wp14:editId="3F0F7729">
              <wp:simplePos x="0" y="0"/>
              <wp:positionH relativeFrom="margin">
                <wp:align>center</wp:align>
              </wp:positionH>
              <wp:positionV relativeFrom="paragraph">
                <wp:posOffset>-285806</wp:posOffset>
              </wp:positionV>
              <wp:extent cx="6898005" cy="0"/>
              <wp:effectExtent l="0" t="0" r="0" b="0"/>
              <wp:wrapNone/>
              <wp:docPr id="1569876878" name="Straight Connector 1569876878"/>
              <wp:cNvGraphicFramePr/>
              <a:graphic xmlns:a="http://schemas.openxmlformats.org/drawingml/2006/main">
                <a:graphicData uri="http://schemas.microsoft.com/office/word/2010/wordprocessingShape">
                  <wps:wsp>
                    <wps:cNvCnPr/>
                    <wps:spPr>
                      <a:xfrm>
                        <a:off x="0" y="0"/>
                        <a:ext cx="6898005" cy="0"/>
                      </a:xfrm>
                      <a:prstGeom prst="line">
                        <a:avLst/>
                      </a:prstGeom>
                      <a:ln w="1905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0C1EC4" id="Straight Connector 1569876878" o:spid="_x0000_s1026" style="position:absolute;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22.5pt" to="543.1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" strokecolor="black [3213]" strokeweight="1.5pt">
              <v:stroke joinstyle="miter"/>
              <w10:wrap anchorx="margin"/>
            </v:line>
          </w:pict>
        </mc:Fallback>
      </mc:AlternateContent>
    </w:r>
    <w:r w:rsidR="00EA4B07" w:rsidRPr="00EA4B07">
      <w:rPr>
        <w:rFonts w:ascii="Calibri" w:eastAsia="Calibri" w:hAnsi="Calibri" w:cs="Arial"/>
        <w:noProof/>
        <w:sz w:val="28"/>
        <w:szCs w:val="28"/>
      </w:rPr>
      <w:t>09.01.2026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77721" w14:textId="77777777" w:rsidR="006614A9" w:rsidRDefault="006614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5CF70A" w14:textId="77777777" w:rsidR="003738C6" w:rsidRDefault="003738C6" w:rsidP="007D18C1">
      <w:pPr>
        <w:spacing w:after="0" w:line="240" w:lineRule="auto"/>
      </w:pPr>
      <w:r>
        <w:separator/>
      </w:r>
    </w:p>
  </w:footnote>
  <w:footnote w:type="continuationSeparator" w:id="0">
    <w:p w14:paraId="60FD93EF" w14:textId="77777777" w:rsidR="003738C6" w:rsidRDefault="003738C6" w:rsidP="007D18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4057F" w14:textId="77777777" w:rsidR="006614A9" w:rsidRDefault="006614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E6269" w14:textId="71323E84" w:rsidR="006614A9" w:rsidRPr="006614A9" w:rsidRDefault="007D18C1" w:rsidP="006614A9">
    <w:pPr>
      <w:spacing w:after="0" w:line="240" w:lineRule="auto"/>
      <w:jc w:val="right"/>
      <w:rPr>
        <w:rFonts w:ascii="Calibri" w:eastAsia="Calibri" w:hAnsi="Calibri" w:cs="Arial"/>
        <w:b/>
        <w:bCs/>
        <w:noProof/>
        <w:sz w:val="28"/>
        <w:szCs w:val="28"/>
      </w:rPr>
    </w:pPr>
    <w:r w:rsidRPr="006614A9">
      <w:rPr>
        <w:rFonts w:ascii="Calibri" w:eastAsia="Calibri" w:hAnsi="Calibri" w:cs="Arial"/>
        <w:noProof/>
        <w:sz w:val="28"/>
        <w:szCs w:val="28"/>
      </w:rPr>
      <w:drawing>
        <wp:anchor distT="0" distB="0" distL="114300" distR="114300" simplePos="0" relativeHeight="251659264" behindDoc="1" locked="0" layoutInCell="1" allowOverlap="1" wp14:anchorId="61F399CF" wp14:editId="4D1C151C">
          <wp:simplePos x="0" y="0"/>
          <wp:positionH relativeFrom="column">
            <wp:posOffset>-437515</wp:posOffset>
          </wp:positionH>
          <wp:positionV relativeFrom="paragraph">
            <wp:posOffset>27305</wp:posOffset>
          </wp:positionV>
          <wp:extent cx="3529965" cy="409575"/>
          <wp:effectExtent l="0" t="0" r="0" b="9525"/>
          <wp:wrapTight wrapText="bothSides">
            <wp:wrapPolygon edited="0">
              <wp:start x="7227" y="0"/>
              <wp:lineTo x="0" y="1005"/>
              <wp:lineTo x="0" y="20093"/>
              <wp:lineTo x="7227" y="21098"/>
              <wp:lineTo x="7810" y="21098"/>
              <wp:lineTo x="8743" y="21098"/>
              <wp:lineTo x="15970" y="17079"/>
              <wp:lineTo x="15970" y="16074"/>
              <wp:lineTo x="21448" y="11051"/>
              <wp:lineTo x="21448" y="4019"/>
              <wp:lineTo x="7810" y="0"/>
              <wp:lineTo x="7227" y="0"/>
            </wp:wrapPolygon>
          </wp:wrapTight>
          <wp:docPr id="48" name="Picture 48" descr="Q:\BICC\BI Analysts\Website\Website Project\Branding\BICC\Microsoft-Office\ITAP-Busin-Infor-H-BG-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BICC\BI Analysts\Website\Website Project\Branding\BICC\Microsoft-Office\ITAP-Busin-Infor-H-BG-RGB.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29965" cy="409575"/>
                  </a:xfrm>
                  <a:prstGeom prst="rect">
                    <a:avLst/>
                  </a:prstGeom>
                  <a:noFill/>
                  <a:ln>
                    <a:noFill/>
                  </a:ln>
                </pic:spPr>
              </pic:pic>
            </a:graphicData>
          </a:graphic>
          <wp14:sizeRelH relativeFrom="margin">
            <wp14:pctWidth>0</wp14:pctWidth>
          </wp14:sizeRelH>
        </wp:anchor>
      </w:drawing>
    </w:r>
    <w:r w:rsidRPr="006614A9">
      <w:rPr>
        <w:rFonts w:ascii="Calibri" w:eastAsia="Calibri" w:hAnsi="Calibri" w:cs="Arial"/>
        <w:b/>
        <w:bCs/>
        <w:noProof/>
        <w:sz w:val="28"/>
        <w:szCs w:val="28"/>
      </w:rPr>
      <w:t xml:space="preserve">Cognos Scheduler </w:t>
    </w:r>
  </w:p>
  <w:p w14:paraId="3CD11F3C" w14:textId="1E23E895" w:rsidR="007D18C1" w:rsidRPr="006614A9" w:rsidRDefault="007D18C1" w:rsidP="006614A9">
    <w:pPr>
      <w:spacing w:after="0" w:line="240" w:lineRule="auto"/>
      <w:jc w:val="right"/>
      <w:rPr>
        <w:rFonts w:ascii="Calibri" w:eastAsia="Calibri" w:hAnsi="Calibri" w:cs="Arial"/>
        <w:b/>
        <w:bCs/>
        <w:noProof/>
        <w:sz w:val="28"/>
        <w:szCs w:val="28"/>
      </w:rPr>
    </w:pPr>
    <w:r w:rsidRPr="006614A9">
      <w:rPr>
        <w:rFonts w:ascii="Calibri" w:eastAsia="Calibri" w:hAnsi="Calibri" w:cs="Arial"/>
        <w:b/>
        <w:bCs/>
        <w:noProof/>
        <w:sz w:val="28"/>
        <w:szCs w:val="28"/>
      </w:rPr>
      <w:t xml:space="preserve">Best Practices Guide </w:t>
    </w:r>
  </w:p>
  <w:p w14:paraId="05FECA93" w14:textId="3DA81A69" w:rsidR="007D18C1" w:rsidRPr="007D18C1" w:rsidRDefault="007D18C1" w:rsidP="007D18C1">
    <w:pPr>
      <w:spacing w:after="0" w:line="240" w:lineRule="auto"/>
      <w:rPr>
        <w:rFonts w:ascii="Calibri" w:eastAsia="Calibri" w:hAnsi="Calibri" w:cs="Arial"/>
        <w:b/>
        <w:kern w:val="0"/>
        <w:sz w:val="28"/>
        <w:szCs w:val="28"/>
        <w14:ligatures w14:val="none"/>
      </w:rPr>
    </w:pPr>
    <w:r>
      <w:rPr>
        <w:b/>
        <w:sz w:val="28"/>
        <w:szCs w:val="28"/>
      </w:rPr>
      <w:tab/>
    </w:r>
  </w:p>
  <w:p w14:paraId="702E7DD9" w14:textId="7C7EE7F8" w:rsidR="007D18C1" w:rsidRDefault="007D18C1">
    <w:pPr>
      <w:pStyle w:val="Header"/>
    </w:pPr>
    <w:r>
      <w:rPr>
        <w:noProof/>
      </w:rPr>
      <mc:AlternateContent>
        <mc:Choice Requires="wps">
          <w:drawing>
            <wp:anchor distT="0" distB="0" distL="114300" distR="114300" simplePos="0" relativeHeight="251661312" behindDoc="0" locked="0" layoutInCell="1" allowOverlap="1" wp14:anchorId="7A653DE6" wp14:editId="206A6B6B">
              <wp:simplePos x="0" y="0"/>
              <wp:positionH relativeFrom="margin">
                <wp:posOffset>-476885</wp:posOffset>
              </wp:positionH>
              <wp:positionV relativeFrom="paragraph">
                <wp:posOffset>131114</wp:posOffset>
              </wp:positionV>
              <wp:extent cx="6898005" cy="0"/>
              <wp:effectExtent l="0" t="0" r="0" b="0"/>
              <wp:wrapNone/>
              <wp:docPr id="18" name="Straight Connector 18"/>
              <wp:cNvGraphicFramePr/>
              <a:graphic xmlns:a="http://schemas.openxmlformats.org/drawingml/2006/main">
                <a:graphicData uri="http://schemas.microsoft.com/office/word/2010/wordprocessingShape">
                  <wps:wsp>
                    <wps:cNvCnPr/>
                    <wps:spPr>
                      <a:xfrm>
                        <a:off x="0" y="0"/>
                        <a:ext cx="6898005" cy="0"/>
                      </a:xfrm>
                      <a:prstGeom prst="line">
                        <a:avLst/>
                      </a:prstGeom>
                      <a:ln w="1905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E05FD52" id="Straight Connector 18" o:spid="_x0000_s1026"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7.55pt,10.3pt" to="505.6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" strokecolor="black [3213]" strokeweight="1.5pt">
              <v:stroke joinstyle="miter"/>
              <w10:wrap anchorx="margin"/>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6AECF" w14:textId="77777777" w:rsidR="006614A9" w:rsidRDefault="006614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11E67"/>
    <w:multiLevelType w:val="hybridMultilevel"/>
    <w:tmpl w:val="32BA8D16"/>
    <w:lvl w:ilvl="0" w:tplc="04090001">
      <w:start w:val="1"/>
      <w:numFmt w:val="bullet"/>
      <w:lvlText w:val=""/>
      <w:lvlJc w:val="left"/>
      <w:pPr>
        <w:ind w:left="720" w:hanging="360"/>
      </w:pPr>
      <w:rPr>
        <w:rFonts w:ascii="Symbol" w:hAnsi="Symbol"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C733E7"/>
    <w:multiLevelType w:val="hybridMultilevel"/>
    <w:tmpl w:val="3670B16E"/>
    <w:lvl w:ilvl="0" w:tplc="04090001">
      <w:start w:val="1"/>
      <w:numFmt w:val="bullet"/>
      <w:lvlText w:val=""/>
      <w:lvlJc w:val="left"/>
      <w:pPr>
        <w:ind w:left="720" w:hanging="360"/>
      </w:pPr>
      <w:rPr>
        <w:rFonts w:ascii="Symbol" w:hAnsi="Symbol" w:hint="default"/>
        <w:b w:val="0"/>
        <w:i w:val="0"/>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EE64C6"/>
    <w:multiLevelType w:val="multilevel"/>
    <w:tmpl w:val="9724E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1554F7C"/>
    <w:multiLevelType w:val="hybridMultilevel"/>
    <w:tmpl w:val="1F72AECE"/>
    <w:lvl w:ilvl="0" w:tplc="04090001">
      <w:start w:val="1"/>
      <w:numFmt w:val="bullet"/>
      <w:lvlText w:val=""/>
      <w:lvlJc w:val="left"/>
      <w:pPr>
        <w:ind w:left="720" w:hanging="360"/>
      </w:pPr>
      <w:rPr>
        <w:rFonts w:ascii="Symbol" w:hAnsi="Symbol"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96516A0"/>
    <w:multiLevelType w:val="hybridMultilevel"/>
    <w:tmpl w:val="34D40E7A"/>
    <w:lvl w:ilvl="0" w:tplc="04090001">
      <w:start w:val="1"/>
      <w:numFmt w:val="bullet"/>
      <w:lvlText w:val=""/>
      <w:lvlJc w:val="left"/>
      <w:pPr>
        <w:ind w:left="720" w:hanging="360"/>
      </w:pPr>
      <w:rPr>
        <w:rFonts w:ascii="Symbol" w:hAnsi="Symbol"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7DA4133"/>
    <w:multiLevelType w:val="hybridMultilevel"/>
    <w:tmpl w:val="FC88A806"/>
    <w:lvl w:ilvl="0" w:tplc="04090001">
      <w:start w:val="1"/>
      <w:numFmt w:val="bullet"/>
      <w:lvlText w:val=""/>
      <w:lvlJc w:val="left"/>
      <w:pPr>
        <w:ind w:left="720" w:hanging="360"/>
      </w:pPr>
      <w:rPr>
        <w:rFonts w:ascii="Symbol" w:hAnsi="Symbol"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33715106">
    <w:abstractNumId w:val="1"/>
  </w:num>
  <w:num w:numId="2" w16cid:durableId="652023561">
    <w:abstractNumId w:val="4"/>
  </w:num>
  <w:num w:numId="3" w16cid:durableId="1449736701">
    <w:abstractNumId w:val="5"/>
  </w:num>
  <w:num w:numId="4" w16cid:durableId="2017879941">
    <w:abstractNumId w:val="3"/>
  </w:num>
  <w:num w:numId="5" w16cid:durableId="1648120165">
    <w:abstractNumId w:val="0"/>
  </w:num>
  <w:num w:numId="6" w16cid:durableId="800256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8C1"/>
    <w:rsid w:val="002B7011"/>
    <w:rsid w:val="003738C6"/>
    <w:rsid w:val="004C3051"/>
    <w:rsid w:val="006614A9"/>
    <w:rsid w:val="007D18C1"/>
    <w:rsid w:val="00B33681"/>
    <w:rsid w:val="00D37201"/>
    <w:rsid w:val="00EA4B07"/>
    <w:rsid w:val="00F60A98"/>
    <w:rsid w:val="00FB6D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21C3A6"/>
  <w15:chartTrackingRefBased/>
  <w15:docId w15:val="{A8C4A2D6-D6B7-4A93-947D-8C073E82F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18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18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18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18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18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18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18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18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18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18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18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18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18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18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18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18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18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18C1"/>
    <w:rPr>
      <w:rFonts w:eastAsiaTheme="majorEastAsia" w:cstheme="majorBidi"/>
      <w:color w:val="272727" w:themeColor="text1" w:themeTint="D8"/>
    </w:rPr>
  </w:style>
  <w:style w:type="paragraph" w:styleId="Title">
    <w:name w:val="Title"/>
    <w:basedOn w:val="Normal"/>
    <w:next w:val="Normal"/>
    <w:link w:val="TitleChar"/>
    <w:uiPriority w:val="10"/>
    <w:qFormat/>
    <w:rsid w:val="007D18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18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18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18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18C1"/>
    <w:pPr>
      <w:spacing w:before="160"/>
      <w:jc w:val="center"/>
    </w:pPr>
    <w:rPr>
      <w:i/>
      <w:iCs/>
      <w:color w:val="404040" w:themeColor="text1" w:themeTint="BF"/>
    </w:rPr>
  </w:style>
  <w:style w:type="character" w:customStyle="1" w:styleId="QuoteChar">
    <w:name w:val="Quote Char"/>
    <w:basedOn w:val="DefaultParagraphFont"/>
    <w:link w:val="Quote"/>
    <w:uiPriority w:val="29"/>
    <w:rsid w:val="007D18C1"/>
    <w:rPr>
      <w:i/>
      <w:iCs/>
      <w:color w:val="404040" w:themeColor="text1" w:themeTint="BF"/>
    </w:rPr>
  </w:style>
  <w:style w:type="paragraph" w:styleId="ListParagraph">
    <w:name w:val="List Paragraph"/>
    <w:basedOn w:val="Normal"/>
    <w:uiPriority w:val="34"/>
    <w:qFormat/>
    <w:rsid w:val="007D18C1"/>
    <w:pPr>
      <w:ind w:left="720"/>
      <w:contextualSpacing/>
    </w:pPr>
  </w:style>
  <w:style w:type="character" w:styleId="IntenseEmphasis">
    <w:name w:val="Intense Emphasis"/>
    <w:basedOn w:val="DefaultParagraphFont"/>
    <w:uiPriority w:val="21"/>
    <w:qFormat/>
    <w:rsid w:val="007D18C1"/>
    <w:rPr>
      <w:i/>
      <w:iCs/>
      <w:color w:val="0F4761" w:themeColor="accent1" w:themeShade="BF"/>
    </w:rPr>
  </w:style>
  <w:style w:type="paragraph" w:styleId="IntenseQuote">
    <w:name w:val="Intense Quote"/>
    <w:basedOn w:val="Normal"/>
    <w:next w:val="Normal"/>
    <w:link w:val="IntenseQuoteChar"/>
    <w:uiPriority w:val="30"/>
    <w:qFormat/>
    <w:rsid w:val="007D18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18C1"/>
    <w:rPr>
      <w:i/>
      <w:iCs/>
      <w:color w:val="0F4761" w:themeColor="accent1" w:themeShade="BF"/>
    </w:rPr>
  </w:style>
  <w:style w:type="character" w:styleId="IntenseReference">
    <w:name w:val="Intense Reference"/>
    <w:basedOn w:val="DefaultParagraphFont"/>
    <w:uiPriority w:val="32"/>
    <w:qFormat/>
    <w:rsid w:val="007D18C1"/>
    <w:rPr>
      <w:b/>
      <w:bCs/>
      <w:smallCaps/>
      <w:color w:val="0F4761" w:themeColor="accent1" w:themeShade="BF"/>
      <w:spacing w:val="5"/>
    </w:rPr>
  </w:style>
  <w:style w:type="paragraph" w:styleId="Header">
    <w:name w:val="header"/>
    <w:basedOn w:val="Normal"/>
    <w:link w:val="HeaderChar"/>
    <w:uiPriority w:val="99"/>
    <w:unhideWhenUsed/>
    <w:rsid w:val="007D18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18C1"/>
  </w:style>
  <w:style w:type="paragraph" w:styleId="Footer">
    <w:name w:val="footer"/>
    <w:basedOn w:val="Normal"/>
    <w:link w:val="FooterChar"/>
    <w:uiPriority w:val="99"/>
    <w:unhideWhenUsed/>
    <w:rsid w:val="007D18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18C1"/>
  </w:style>
  <w:style w:type="paragraph" w:styleId="NoSpacing">
    <w:name w:val="No Spacing"/>
    <w:uiPriority w:val="1"/>
    <w:qFormat/>
    <w:rsid w:val="007D18C1"/>
    <w:pPr>
      <w:spacing w:after="0" w:line="240" w:lineRule="auto"/>
    </w:pPr>
    <w:rPr>
      <w:kern w:val="0"/>
      <w:sz w:val="22"/>
      <w:szCs w:val="22"/>
      <w14:ligatures w14:val="none"/>
    </w:rPr>
  </w:style>
  <w:style w:type="character" w:styleId="BookTitle">
    <w:name w:val="Book Title"/>
    <w:basedOn w:val="DefaultParagraphFont"/>
    <w:uiPriority w:val="33"/>
    <w:qFormat/>
    <w:rsid w:val="006614A9"/>
    <w:rPr>
      <w:b/>
      <w:bCs/>
      <w:i/>
      <w:iCs/>
      <w:spacing w:val="5"/>
    </w:rPr>
  </w:style>
  <w:style w:type="paragraph" w:styleId="Caption">
    <w:name w:val="caption"/>
    <w:basedOn w:val="Normal"/>
    <w:next w:val="Normal"/>
    <w:uiPriority w:val="35"/>
    <w:semiHidden/>
    <w:unhideWhenUsed/>
    <w:qFormat/>
    <w:rsid w:val="006614A9"/>
    <w:pPr>
      <w:spacing w:after="200" w:line="240" w:lineRule="auto"/>
    </w:pPr>
    <w:rPr>
      <w:i/>
      <w:iCs/>
      <w:color w:val="0E2841" w:themeColor="text2"/>
      <w:sz w:val="18"/>
      <w:szCs w:val="18"/>
    </w:rPr>
  </w:style>
  <w:style w:type="character" w:styleId="Emphasis">
    <w:name w:val="Emphasis"/>
    <w:basedOn w:val="DefaultParagraphFont"/>
    <w:uiPriority w:val="20"/>
    <w:qFormat/>
    <w:rsid w:val="006614A9"/>
    <w:rPr>
      <w:i/>
      <w:iCs/>
    </w:rPr>
  </w:style>
  <w:style w:type="character" w:styleId="Strong">
    <w:name w:val="Strong"/>
    <w:basedOn w:val="DefaultParagraphFont"/>
    <w:uiPriority w:val="22"/>
    <w:qFormat/>
    <w:rsid w:val="006614A9"/>
    <w:rPr>
      <w:b/>
      <w:bCs/>
    </w:rPr>
  </w:style>
  <w:style w:type="character" w:styleId="SubtleEmphasis">
    <w:name w:val="Subtle Emphasis"/>
    <w:basedOn w:val="DefaultParagraphFont"/>
    <w:uiPriority w:val="19"/>
    <w:qFormat/>
    <w:rsid w:val="006614A9"/>
    <w:rPr>
      <w:i/>
      <w:iCs/>
      <w:color w:val="404040" w:themeColor="text1" w:themeTint="BF"/>
    </w:rPr>
  </w:style>
  <w:style w:type="character" w:styleId="SubtleReference">
    <w:name w:val="Subtle Reference"/>
    <w:basedOn w:val="DefaultParagraphFont"/>
    <w:uiPriority w:val="31"/>
    <w:qFormat/>
    <w:rsid w:val="006614A9"/>
    <w:rPr>
      <w:smallCaps/>
      <w:color w:val="5A5A5A" w:themeColor="text1" w:themeTint="A5"/>
    </w:rPr>
  </w:style>
  <w:style w:type="paragraph" w:styleId="TOCHeading">
    <w:name w:val="TOC Heading"/>
    <w:basedOn w:val="Heading1"/>
    <w:next w:val="Normal"/>
    <w:uiPriority w:val="39"/>
    <w:semiHidden/>
    <w:unhideWhenUsed/>
    <w:qFormat/>
    <w:rsid w:val="006614A9"/>
    <w:pPr>
      <w:spacing w:before="240" w:after="0"/>
      <w:outlineLvl w:val="9"/>
    </w:pPr>
    <w:rPr>
      <w:sz w:val="32"/>
      <w:szCs w:val="32"/>
    </w:rPr>
  </w:style>
  <w:style w:type="character" w:styleId="Hyperlink">
    <w:name w:val="Hyperlink"/>
    <w:basedOn w:val="DefaultParagraphFont"/>
    <w:uiPriority w:val="99"/>
    <w:unhideWhenUsed/>
    <w:rsid w:val="00EA4B07"/>
    <w:rPr>
      <w:color w:val="467886" w:themeColor="hyperlink"/>
      <w:u w:val="single"/>
    </w:rPr>
  </w:style>
  <w:style w:type="character" w:styleId="UnresolvedMention">
    <w:name w:val="Unresolved Mention"/>
    <w:basedOn w:val="DefaultParagraphFont"/>
    <w:uiPriority w:val="99"/>
    <w:semiHidden/>
    <w:unhideWhenUsed/>
    <w:rsid w:val="00EA4B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scade.it.purdue.edu/renderfile/f88ce49fac1e8cdd55a149c4f7544e65/documents/cognos/cognos_resources_page/Cognos%20Schedule%20Policies%20and%20Procedures.docx"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1</Pages>
  <Words>366</Words>
  <Characters>1914</Characters>
  <Application>Microsoft Office Word</Application>
  <DocSecurity>0</DocSecurity>
  <Lines>39</Lines>
  <Paragraphs>12</Paragraphs>
  <ScaleCrop>false</ScaleCrop>
  <HeadingPairs>
    <vt:vector size="2" baseType="variant">
      <vt:variant>
        <vt:lpstr>Title</vt:lpstr>
      </vt:variant>
      <vt:variant>
        <vt:i4>1</vt:i4>
      </vt:variant>
    </vt:vector>
  </HeadingPairs>
  <TitlesOfParts>
    <vt:vector size="1" baseType="lpstr">
      <vt:lpstr/>
    </vt:vector>
  </TitlesOfParts>
  <Company>Purdue University</Company>
  <LinksUpToDate>false</LinksUpToDate>
  <CharactersWithSpaces>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R Hendryx</dc:creator>
  <cp:keywords/>
  <dc:description/>
  <cp:lastModifiedBy>Katie R Hendryx</cp:lastModifiedBy>
  <cp:revision>1</cp:revision>
  <dcterms:created xsi:type="dcterms:W3CDTF">2026-09-21T20:04:00Z</dcterms:created>
  <dcterms:modified xsi:type="dcterms:W3CDTF">2026-09-25T20:41:00Z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1fb9e8f0-793b-4ba1-9d5f-f2e771ee39c9</vt:lpwstr>
  </property>
</Properties>
</file>